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E21E" w14:textId="77777777" w:rsidR="003938CE" w:rsidRPr="003938CE" w:rsidRDefault="003938CE" w:rsidP="007C0302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938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Przetwarzanie danych</w:t>
                            </w:r>
                          </w:p>
                          <w:p w14:paraId="2E017E52" w14:textId="127D9309" w:rsidR="00C92ECE" w:rsidRPr="00900EC6" w:rsidRDefault="003938CE" w:rsidP="007C03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38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z wykorzystaniem arkusza kalkulacyjnego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76E6E21E" w14:textId="77777777" w:rsidR="003938CE" w:rsidRPr="003938CE" w:rsidRDefault="003938CE" w:rsidP="007C0302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3938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Przetwarzanie danych</w:t>
                      </w:r>
                    </w:p>
                    <w:p w14:paraId="2E017E52" w14:textId="127D9309" w:rsidR="00C92ECE" w:rsidRPr="00900EC6" w:rsidRDefault="003938CE" w:rsidP="007C03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38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z wykorzystaniem arkusza kalkulacyjnego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7C0302" w:rsidRPr="00C01834" w14:paraId="29DFFF33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DBD468F" w:rsidR="007C0302" w:rsidRPr="00C01834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32246213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2021/2022</w:t>
            </w:r>
          </w:p>
        </w:tc>
      </w:tr>
      <w:tr w:rsidR="007C0302" w:rsidRPr="00C01834" w14:paraId="20267CE8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18FDF732" w:rsidR="007C0302" w:rsidRPr="00C01834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5A12AF46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Lekarski</w:t>
            </w:r>
          </w:p>
        </w:tc>
      </w:tr>
      <w:tr w:rsidR="007C0302" w:rsidRPr="00C01834" w14:paraId="4E6AAFC2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7EAD86FC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0FDCCFB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ekarski</w:t>
            </w:r>
          </w:p>
        </w:tc>
      </w:tr>
      <w:tr w:rsidR="007C0302" w:rsidRPr="00C01834" w14:paraId="183C2EC2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119EAF3" w:rsidR="007C0302" w:rsidRPr="00C01834" w:rsidRDefault="007C0302" w:rsidP="007C030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44BBD572" w:rsidR="007C0302" w:rsidRPr="00C01834" w:rsidRDefault="007C0302" w:rsidP="007C030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7C0302" w:rsidRPr="00C01834" w14:paraId="71F9ED42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742EAAAA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2D16C2D8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7C0302" w:rsidRPr="00C01834" w14:paraId="75BB47CB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11407B6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669CBDAF" w:rsidR="007C0302" w:rsidRPr="00C01834" w:rsidRDefault="007C0302" w:rsidP="007C03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C01834" w:rsidRPr="00C01834" w14:paraId="319D6F33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1534EC95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241B35C" w:rsidR="00C01834" w:rsidRPr="00672988" w:rsidRDefault="00233F0A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2988">
              <w:rPr>
                <w:bCs/>
                <w:color w:val="auto"/>
              </w:rPr>
              <w:t>Stacjonarne</w:t>
            </w:r>
          </w:p>
        </w:tc>
      </w:tr>
      <w:tr w:rsidR="00A63CE6" w:rsidRPr="00C01834" w14:paraId="0D560214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7AE173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CA96893" w:rsidR="00A63CE6" w:rsidRPr="00672988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2988">
              <w:rPr>
                <w:bCs/>
                <w:color w:val="auto"/>
              </w:rPr>
              <w:t>Fakultatywny</w:t>
            </w:r>
          </w:p>
        </w:tc>
      </w:tr>
      <w:tr w:rsidR="00A63CE6" w:rsidRPr="00C01834" w14:paraId="5858F82D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1670E391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672988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2988">
              <w:rPr>
                <w:bCs/>
                <w:color w:val="auto"/>
              </w:rPr>
              <w:t>Zaliczenie</w:t>
            </w:r>
          </w:p>
        </w:tc>
      </w:tr>
      <w:tr w:rsidR="00A63CE6" w:rsidRPr="007C0302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67B168DD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EC1BBF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Zakład Informatyki Medycznej i Telemedycyny</w:t>
            </w:r>
          </w:p>
          <w:p w14:paraId="46F147ED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ul. Litewska 16, 00-581 Warszawa, III piętro</w:t>
            </w:r>
          </w:p>
          <w:p w14:paraId="31612B43" w14:textId="77777777" w:rsidR="00233F0A" w:rsidRPr="00A7152B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tel. (+48) 22 116 92 43</w:t>
            </w:r>
          </w:p>
          <w:p w14:paraId="3685F30C" w14:textId="77C56CD9" w:rsidR="00A63CE6" w:rsidRPr="00A7152B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A7152B">
              <w:rPr>
                <w:b/>
                <w:color w:val="auto"/>
                <w:lang w:val="en-GB"/>
              </w:rPr>
              <w:t>e-mail: zimt@wum.edu.pl</w:t>
            </w:r>
          </w:p>
        </w:tc>
      </w:tr>
      <w:tr w:rsidR="007C0302" w:rsidRPr="007C0302" w14:paraId="2DE86E08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41A0463" w:rsidR="007C0302" w:rsidRPr="00C01834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27363711" w:rsidR="007C0302" w:rsidRPr="00A7152B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Andrzej </w:t>
            </w:r>
            <w:proofErr w:type="spellStart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Cacko</w:t>
            </w:r>
            <w:proofErr w:type="spellEnd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andrzej.cacko@wum.edu.pl</w:t>
            </w:r>
          </w:p>
        </w:tc>
      </w:tr>
      <w:tr w:rsidR="007C0302" w:rsidRPr="007C0302" w14:paraId="52E84EAE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49FAB98C" w:rsidR="007C0302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0D4CBDCC" w:rsidR="007C0302" w:rsidRPr="007C0302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Andrzej </w:t>
            </w:r>
            <w:proofErr w:type="spellStart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Cacko</w:t>
            </w:r>
            <w:proofErr w:type="spellEnd"/>
            <w:r w:rsidRPr="00FD44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andrzej.cacko@wum.edu.pl</w:t>
            </w:r>
          </w:p>
        </w:tc>
      </w:tr>
      <w:tr w:rsidR="006D018B" w:rsidRPr="00672988" w14:paraId="1C47B7EB" w14:textId="77777777" w:rsidTr="007C0302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1C10C24D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5862F0C3" w:rsidR="00233F0A" w:rsidRPr="00672988" w:rsidRDefault="00672988" w:rsidP="00A63CE6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inż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. Emanuel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Tataj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emanuel.tataj@wum.edu.pl</w:t>
            </w:r>
          </w:p>
        </w:tc>
      </w:tr>
      <w:tr w:rsidR="006D018B" w:rsidRPr="007C0302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B9A1EA" w14:textId="77777777" w:rsidR="007C0302" w:rsidRPr="00516C44" w:rsidRDefault="007C0302" w:rsidP="007C030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Andrzej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Cacko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andrzej.cacko@wum.edu.pl</w:t>
            </w:r>
          </w:p>
          <w:p w14:paraId="64857A34" w14:textId="77777777" w:rsidR="007C0302" w:rsidRPr="00516C44" w:rsidRDefault="007C0302" w:rsidP="007C030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6FAE01D1" w:rsidR="006D018B" w:rsidRPr="007C0302" w:rsidRDefault="007C0302" w:rsidP="007C0302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inż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. Emanuel </w:t>
            </w:r>
            <w:proofErr w:type="spellStart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Tataj</w:t>
            </w:r>
            <w:proofErr w:type="spellEnd"/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; emanuel.tataj@wum.edu.pl</w:t>
            </w:r>
          </w:p>
        </w:tc>
      </w:tr>
    </w:tbl>
    <w:p w14:paraId="6766E821" w14:textId="759A4300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3A095C4C" w14:textId="1426AED9" w:rsidR="007C0302" w:rsidRDefault="007C0302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2B0E6924" w14:textId="77777777" w:rsidR="007C0302" w:rsidRPr="007C0302" w:rsidRDefault="007C0302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77777777" w:rsidR="00C92ECE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I, II, III, IV, V</w:t>
            </w:r>
          </w:p>
          <w:p w14:paraId="24784FA8" w14:textId="1EC8097A" w:rsidR="008B0E82" w:rsidRPr="00C01834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F2E7D27" w:rsidR="00C92ECE" w:rsidRPr="00C01834" w:rsidRDefault="008B0E82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419AB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2419AB" w:rsidRPr="00C01834" w:rsidRDefault="002419AB" w:rsidP="002419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1328BADC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0BDF9E7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2419AB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2855EBFF" w:rsidR="002419AB" w:rsidRPr="00C01834" w:rsidRDefault="002419AB" w:rsidP="002419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  <w:r w:rsidR="0052053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762AD7C" w:rsidR="002419AB" w:rsidRPr="00C01834" w:rsidRDefault="00520534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1700475A" w:rsidR="002419AB" w:rsidRPr="00C01834" w:rsidRDefault="002419AB" w:rsidP="002419A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52CF0E53" w:rsidR="00C01834" w:rsidRPr="004D4716" w:rsidRDefault="00C01834" w:rsidP="00D773DA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4D4716">
              <w:rPr>
                <w:color w:val="auto"/>
                <w:lang w:val="en-GB"/>
              </w:rPr>
              <w:t>e-learning (e-L)</w:t>
            </w:r>
            <w:r w:rsidR="004D4716" w:rsidRPr="004D4716">
              <w:rPr>
                <w:color w:val="auto"/>
                <w:lang w:val="en-GB"/>
              </w:rPr>
              <w:t xml:space="preserve"> - </w:t>
            </w:r>
            <w:proofErr w:type="spellStart"/>
            <w:r w:rsidR="004D4716" w:rsidRPr="004D4716">
              <w:rPr>
                <w:color w:val="auto"/>
                <w:lang w:val="en-GB"/>
              </w:rPr>
              <w:t>ć</w:t>
            </w:r>
            <w:r w:rsidR="004D4716">
              <w:rPr>
                <w:color w:val="auto"/>
                <w:lang w:val="en-GB"/>
              </w:rPr>
              <w:t>wiczenia</w:t>
            </w:r>
            <w:proofErr w:type="spellEnd"/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F764327" w:rsidR="00C01834" w:rsidRPr="00C01834" w:rsidRDefault="008B0E8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4513E492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4A3F08FB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69CF215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F6720E3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F568407" w:rsidR="00C01834" w:rsidRPr="00C01834" w:rsidRDefault="00C45046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107D1BEF" w:rsidR="00C01834" w:rsidRPr="00C01834" w:rsidRDefault="00506D67" w:rsidP="00247B84">
            <w:pPr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506D67">
              <w:rPr>
                <w:color w:val="auto"/>
              </w:rPr>
              <w:t xml:space="preserve">Celem przedmiotu jest zapoznanie studenta z podstawami przetwarzania danych z wykorzystaniem arkusza kalkulacyjnego Microsoft Excel. W toku realizacji przedmiotu student pozna przykładowe problemy </w:t>
            </w:r>
            <w:r w:rsidR="00EE3C26" w:rsidRPr="00506D67">
              <w:rPr>
                <w:color w:val="auto"/>
              </w:rPr>
              <w:t>pojawiające</w:t>
            </w:r>
            <w:r w:rsidR="009E3C97">
              <w:rPr>
                <w:color w:val="auto"/>
              </w:rPr>
              <w:t xml:space="preserve"> się</w:t>
            </w:r>
            <w:r w:rsidRPr="00506D67">
              <w:rPr>
                <w:color w:val="auto"/>
              </w:rPr>
              <w:t xml:space="preserve"> </w:t>
            </w:r>
            <w:r w:rsidR="00247B84">
              <w:rPr>
                <w:color w:val="auto"/>
              </w:rPr>
              <w:br/>
            </w:r>
            <w:r w:rsidRPr="00506D67">
              <w:rPr>
                <w:color w:val="auto"/>
              </w:rPr>
              <w:t>w czasie gromadzenia i przetwarzania danych medycznych</w:t>
            </w:r>
            <w:r w:rsidR="00EE3C26">
              <w:rPr>
                <w:color w:val="auto"/>
              </w:rPr>
              <w:t xml:space="preserve">. </w:t>
            </w:r>
            <w:r w:rsidRPr="00506D67">
              <w:rPr>
                <w:color w:val="auto"/>
              </w:rPr>
              <w:t xml:space="preserve">W trakcie </w:t>
            </w:r>
            <w:r w:rsidR="00EE3C26" w:rsidRPr="00506D67">
              <w:rPr>
                <w:color w:val="auto"/>
              </w:rPr>
              <w:t>zajęć</w:t>
            </w:r>
            <w:r w:rsidRPr="00506D67">
              <w:rPr>
                <w:color w:val="auto"/>
              </w:rPr>
              <w:t xml:space="preserve">́ wykorzystywane </w:t>
            </w:r>
            <w:r w:rsidR="00EE3C26" w:rsidRPr="00506D67">
              <w:rPr>
                <w:color w:val="auto"/>
              </w:rPr>
              <w:t>są</w:t>
            </w:r>
            <w:r w:rsidRPr="00506D67">
              <w:rPr>
                <w:color w:val="auto"/>
              </w:rPr>
              <w:t>̨ dane kliniczne zgromadzone w Zakładzie podczas analiz statystycznych.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099BCE81" w:rsidR="00CA3ACF" w:rsidRPr="00CA3ACF" w:rsidRDefault="00CA3ACF" w:rsidP="009E3C97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>Standard kształcenia – Szczegółowe efekty uczenia się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7DC0F99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258419BC" w:rsidR="00F56E87" w:rsidRPr="00C01834" w:rsidRDefault="00F56E87" w:rsidP="008C324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C9EC8C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A051D2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013B301E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 xml:space="preserve">podstawowe </w:t>
            </w:r>
            <w:proofErr w:type="spellStart"/>
            <w:r w:rsidRPr="00BA7A3B">
              <w:rPr>
                <w:color w:val="auto"/>
              </w:rPr>
              <w:t>narzędzia</w:t>
            </w:r>
            <w:proofErr w:type="spellEnd"/>
            <w:r w:rsidRPr="00BA7A3B">
              <w:rPr>
                <w:color w:val="auto"/>
              </w:rPr>
              <w:t xml:space="preserve"> informatyczne i </w:t>
            </w:r>
            <w:proofErr w:type="spellStart"/>
            <w:r w:rsidRPr="00BA7A3B">
              <w:rPr>
                <w:color w:val="auto"/>
              </w:rPr>
              <w:t>biostatystyczne</w:t>
            </w:r>
            <w:proofErr w:type="spellEnd"/>
            <w:r w:rsidRPr="00BA7A3B">
              <w:rPr>
                <w:color w:val="auto"/>
              </w:rPr>
              <w:t xml:space="preserve"> wykorzystywane w medycynie, w tym medyczne bazy danych, arkusze kalkulacyjne i podstawy grafiki komputerowej</w:t>
            </w:r>
          </w:p>
        </w:tc>
      </w:tr>
      <w:tr w:rsidR="00BA7A3B" w:rsidRPr="00C01834" w14:paraId="7E0F3A42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6333C7" w14:textId="77777777" w:rsidR="00BA7A3B" w:rsidRPr="00C01834" w:rsidRDefault="00BA7A3B" w:rsidP="009458F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C62891" w14:textId="77777777" w:rsidR="00BA7A3B" w:rsidRPr="00C01834" w:rsidRDefault="00BA7A3B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metody analizy statystycznej wykorzystywane w badaniach populacyjnych i diagnostycznych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391F63B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5AC90EDF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możliwości</w:t>
            </w:r>
            <w:proofErr w:type="spellEnd"/>
            <w:r w:rsidRPr="00BA7A3B"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współ</w:t>
            </w:r>
            <w:r w:rsidR="008E456D">
              <w:rPr>
                <w:color w:val="auto"/>
              </w:rPr>
              <w:t>czesnej</w:t>
            </w:r>
            <w:proofErr w:type="spellEnd"/>
            <w:r w:rsidR="008E456D">
              <w:rPr>
                <w:color w:val="auto"/>
              </w:rPr>
              <w:t xml:space="preserve"> telemedycyny jako narzę</w:t>
            </w:r>
            <w:r w:rsidRPr="00BA7A3B">
              <w:rPr>
                <w:color w:val="auto"/>
              </w:rPr>
              <w:t>dzia wspomagania pracy lekarza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B516B54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A055B5" w14:textId="2FBE7541" w:rsidR="00BA7A3B" w:rsidRPr="00BA7A3B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korzystac</w:t>
            </w:r>
            <w:proofErr w:type="spellEnd"/>
            <w:r w:rsidRPr="00BA7A3B">
              <w:rPr>
                <w:color w:val="auto"/>
              </w:rPr>
              <w:t>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baz</w:t>
            </w:r>
            <w:r w:rsidR="00595ED3"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danych,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tym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internetowych,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</w:t>
            </w:r>
            <w:r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wyszukiwac</w:t>
            </w:r>
            <w:proofErr w:type="spellEnd"/>
            <w:r w:rsidRPr="00BA7A3B">
              <w:rPr>
                <w:color w:val="auto"/>
              </w:rPr>
              <w:t>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potrzebne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informacje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za</w:t>
            </w:r>
          </w:p>
          <w:p w14:paraId="70299545" w14:textId="1CCF7EA2" w:rsidR="00C01834" w:rsidRPr="00C01834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pomoca</w:t>
            </w:r>
            <w:proofErr w:type="spellEnd"/>
            <w:r w:rsidRPr="00BA7A3B">
              <w:rPr>
                <w:color w:val="auto"/>
              </w:rPr>
              <w:t xml:space="preserve">̨ </w:t>
            </w:r>
            <w:proofErr w:type="spellStart"/>
            <w:r w:rsidRPr="00BA7A3B">
              <w:rPr>
                <w:color w:val="auto"/>
              </w:rPr>
              <w:t>dostępnych</w:t>
            </w:r>
            <w:proofErr w:type="spellEnd"/>
            <w:r w:rsidRPr="00BA7A3B"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narzędzi</w:t>
            </w:r>
            <w:proofErr w:type="spellEnd"/>
          </w:p>
        </w:tc>
      </w:tr>
      <w:tr w:rsidR="00BA7A3B" w:rsidRPr="00C01834" w14:paraId="4FB26BE4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79E730" w14:textId="77777777" w:rsidR="00BA7A3B" w:rsidRPr="00C01834" w:rsidRDefault="00BA7A3B" w:rsidP="009458F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A70D35" w14:textId="77777777" w:rsidR="00BA7A3B" w:rsidRPr="00C01834" w:rsidRDefault="00BA7A3B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dobierac</w:t>
            </w:r>
            <w:proofErr w:type="spellEnd"/>
            <w:r w:rsidRPr="00BA7A3B">
              <w:rPr>
                <w:color w:val="auto"/>
              </w:rPr>
              <w:t xml:space="preserve">́ odpowiedni test statystyczny, </w:t>
            </w:r>
            <w:proofErr w:type="spellStart"/>
            <w:r w:rsidRPr="00BA7A3B">
              <w:rPr>
                <w:color w:val="auto"/>
              </w:rPr>
              <w:t>przeprowadzac</w:t>
            </w:r>
            <w:proofErr w:type="spellEnd"/>
            <w:r w:rsidRPr="00BA7A3B">
              <w:rPr>
                <w:color w:val="auto"/>
              </w:rPr>
              <w:t xml:space="preserve">́ podstawowe analizy statystyczne, </w:t>
            </w:r>
            <w:proofErr w:type="spellStart"/>
            <w:r w:rsidRPr="00BA7A3B">
              <w:rPr>
                <w:color w:val="auto"/>
              </w:rPr>
              <w:t>posługiwac</w:t>
            </w:r>
            <w:proofErr w:type="spellEnd"/>
            <w:r w:rsidRPr="00BA7A3B">
              <w:rPr>
                <w:color w:val="auto"/>
              </w:rPr>
              <w:t xml:space="preserve">́ </w:t>
            </w:r>
            <w:proofErr w:type="spellStart"/>
            <w:r w:rsidRPr="00BA7A3B">
              <w:rPr>
                <w:color w:val="auto"/>
              </w:rPr>
              <w:t>sie</w:t>
            </w:r>
            <w:proofErr w:type="spellEnd"/>
            <w:r w:rsidRPr="00BA7A3B">
              <w:rPr>
                <w:color w:val="auto"/>
              </w:rPr>
              <w:t xml:space="preserve">̨ odpowiednimi metodami przedstawiania </w:t>
            </w:r>
            <w:proofErr w:type="spellStart"/>
            <w:r w:rsidRPr="00BA7A3B">
              <w:rPr>
                <w:color w:val="auto"/>
              </w:rPr>
              <w:t>wyników</w:t>
            </w:r>
            <w:proofErr w:type="spellEnd"/>
            <w:r w:rsidRPr="00BA7A3B">
              <w:rPr>
                <w:color w:val="auto"/>
              </w:rPr>
              <w:t xml:space="preserve">, </w:t>
            </w:r>
            <w:proofErr w:type="spellStart"/>
            <w:r w:rsidRPr="00BA7A3B">
              <w:rPr>
                <w:color w:val="auto"/>
              </w:rPr>
              <w:t>interpretowac</w:t>
            </w:r>
            <w:proofErr w:type="spellEnd"/>
            <w:r w:rsidRPr="00BA7A3B">
              <w:rPr>
                <w:color w:val="auto"/>
              </w:rPr>
              <w:t xml:space="preserve">́ wyniki metaanalizy i </w:t>
            </w:r>
            <w:proofErr w:type="spellStart"/>
            <w:r w:rsidRPr="00BA7A3B">
              <w:rPr>
                <w:color w:val="auto"/>
              </w:rPr>
              <w:t>przeprowadzac</w:t>
            </w:r>
            <w:proofErr w:type="spellEnd"/>
            <w:r w:rsidRPr="00BA7A3B">
              <w:rPr>
                <w:color w:val="auto"/>
              </w:rPr>
              <w:t xml:space="preserve">́ </w:t>
            </w:r>
            <w:proofErr w:type="spellStart"/>
            <w:r w:rsidRPr="00BA7A3B">
              <w:rPr>
                <w:color w:val="auto"/>
              </w:rPr>
              <w:t>analize</w:t>
            </w:r>
            <w:proofErr w:type="spellEnd"/>
            <w:r w:rsidRPr="00BA7A3B">
              <w:rPr>
                <w:color w:val="auto"/>
              </w:rPr>
              <w:t xml:space="preserve">̨ </w:t>
            </w:r>
            <w:proofErr w:type="spellStart"/>
            <w:r w:rsidRPr="00BA7A3B">
              <w:rPr>
                <w:color w:val="auto"/>
              </w:rPr>
              <w:t>prawdopodobieństwa</w:t>
            </w:r>
            <w:proofErr w:type="spellEnd"/>
            <w:r w:rsidRPr="00BA7A3B">
              <w:rPr>
                <w:color w:val="auto"/>
              </w:rPr>
              <w:t xml:space="preserve"> </w:t>
            </w:r>
            <w:proofErr w:type="spellStart"/>
            <w:r w:rsidRPr="00BA7A3B">
              <w:rPr>
                <w:color w:val="auto"/>
              </w:rPr>
              <w:t>przeżycia</w:t>
            </w:r>
            <w:proofErr w:type="spellEnd"/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EFC6DEA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212E9FB9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BA7A3B">
              <w:rPr>
                <w:color w:val="auto"/>
              </w:rPr>
              <w:t>planowac</w:t>
            </w:r>
            <w:proofErr w:type="spellEnd"/>
            <w:r w:rsidRPr="00BA7A3B">
              <w:rPr>
                <w:color w:val="auto"/>
              </w:rPr>
              <w:t xml:space="preserve">́ i </w:t>
            </w:r>
            <w:proofErr w:type="spellStart"/>
            <w:r w:rsidRPr="00BA7A3B">
              <w:rPr>
                <w:color w:val="auto"/>
              </w:rPr>
              <w:t>wykonywac</w:t>
            </w:r>
            <w:proofErr w:type="spellEnd"/>
            <w:r w:rsidRPr="00BA7A3B">
              <w:rPr>
                <w:color w:val="auto"/>
              </w:rPr>
              <w:t xml:space="preserve">́ proste badania naukowe oraz </w:t>
            </w:r>
            <w:proofErr w:type="spellStart"/>
            <w:r w:rsidRPr="00BA7A3B">
              <w:rPr>
                <w:color w:val="auto"/>
              </w:rPr>
              <w:t>interpretowac</w:t>
            </w:r>
            <w:proofErr w:type="spellEnd"/>
            <w:r w:rsidRPr="00BA7A3B">
              <w:rPr>
                <w:color w:val="auto"/>
              </w:rPr>
              <w:t xml:space="preserve">́ ich wyniki i </w:t>
            </w:r>
            <w:proofErr w:type="spellStart"/>
            <w:r w:rsidRPr="00BA7A3B">
              <w:rPr>
                <w:color w:val="auto"/>
              </w:rPr>
              <w:t>wyciągac</w:t>
            </w:r>
            <w:proofErr w:type="spellEnd"/>
            <w:r w:rsidRPr="00BA7A3B">
              <w:rPr>
                <w:color w:val="auto"/>
              </w:rPr>
              <w:t>́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04D05061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3A652584" w:rsidR="00C01834" w:rsidRPr="00C01834" w:rsidRDefault="001F498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30108">
              <w:rPr>
                <w:color w:val="auto"/>
              </w:rPr>
              <w:t xml:space="preserve">proces kształtowania się nowych specjalności w zakresie </w:t>
            </w:r>
            <w:r>
              <w:rPr>
                <w:color w:val="auto"/>
              </w:rPr>
              <w:t>nauk medycznych</w:t>
            </w:r>
            <w:r w:rsidRPr="00930108">
              <w:rPr>
                <w:color w:val="auto"/>
              </w:rPr>
              <w:t xml:space="preserve"> </w:t>
            </w:r>
            <w:r>
              <w:rPr>
                <w:color w:val="auto"/>
              </w:rPr>
              <w:t>oraz</w:t>
            </w:r>
            <w:r w:rsidRPr="00930108">
              <w:rPr>
                <w:color w:val="auto"/>
              </w:rPr>
              <w:t xml:space="preserve"> osiągnięcia czołowych przedstawicieli medycyny polskiej</w:t>
            </w:r>
            <w:r>
              <w:rPr>
                <w:color w:val="auto"/>
              </w:rPr>
              <w:t xml:space="preserve"> </w:t>
            </w:r>
            <w:r w:rsidRPr="00930108">
              <w:rPr>
                <w:color w:val="auto"/>
              </w:rPr>
              <w:t>i światowej</w:t>
            </w: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FA8B56D" w:rsidR="00C01834" w:rsidRPr="00C01834" w:rsidRDefault="001F498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2E35E286" w:rsidR="00C01834" w:rsidRPr="00C01834" w:rsidRDefault="00005E2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wyciągać wnioski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krytyczn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ej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piśmiennictw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medyczne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angielskim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44ABF6B0" w:rsidR="00C01834" w:rsidRPr="00C01834" w:rsidRDefault="00E261B6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1E7B5571" w:rsidR="00C01834" w:rsidRPr="00C01834" w:rsidRDefault="009E3C9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2A6B25" w14:paraId="76BAB994" w14:textId="77777777" w:rsidTr="002A6B25">
        <w:tc>
          <w:tcPr>
            <w:tcW w:w="1696" w:type="dxa"/>
            <w:vMerge w:val="restart"/>
            <w:shd w:val="clear" w:color="auto" w:fill="F2F2F2"/>
            <w:vAlign w:val="center"/>
          </w:tcPr>
          <w:p w14:paraId="2894B275" w14:textId="40ADA7FC" w:rsidR="002A6B25" w:rsidRPr="00346B5C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Ćwiczenia</w:t>
            </w:r>
          </w:p>
        </w:tc>
        <w:tc>
          <w:tcPr>
            <w:tcW w:w="5529" w:type="dxa"/>
            <w:shd w:val="clear" w:color="auto" w:fill="F2F2F2"/>
          </w:tcPr>
          <w:p w14:paraId="6B8EFD94" w14:textId="06902F15" w:rsidR="002A6B25" w:rsidRDefault="002A6B25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 – </w:t>
            </w:r>
            <w:r w:rsidRPr="00CB45BE">
              <w:rPr>
                <w:color w:val="auto"/>
              </w:rPr>
              <w:t>Wprowadzenie do arkusza kalkulacyjnego.</w:t>
            </w:r>
            <w:r w:rsidR="006526E2">
              <w:rPr>
                <w:color w:val="auto"/>
              </w:rPr>
              <w:br/>
            </w:r>
            <w:r w:rsidR="006526E2" w:rsidRPr="006526E2">
              <w:rPr>
                <w:b/>
                <w:bCs/>
                <w:color w:val="auto"/>
              </w:rPr>
              <w:t>ćwiczenie stacjonarne</w:t>
            </w:r>
          </w:p>
        </w:tc>
        <w:tc>
          <w:tcPr>
            <w:tcW w:w="2947" w:type="dxa"/>
            <w:shd w:val="clear" w:color="auto" w:fill="F2F2F2"/>
          </w:tcPr>
          <w:p w14:paraId="67A3171E" w14:textId="46A846A5" w:rsidR="002A6B25" w:rsidRDefault="002A6B25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>, W1</w:t>
            </w:r>
          </w:p>
        </w:tc>
      </w:tr>
      <w:tr w:rsidR="002A6B25" w14:paraId="403695A7" w14:textId="77777777" w:rsidTr="00B607F0">
        <w:tc>
          <w:tcPr>
            <w:tcW w:w="1696" w:type="dxa"/>
            <w:vMerge/>
            <w:shd w:val="clear" w:color="auto" w:fill="F2F2F2"/>
          </w:tcPr>
          <w:p w14:paraId="746E613E" w14:textId="7D5978DE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99578BD" w14:textId="7397A8FF" w:rsidR="002A6B25" w:rsidRDefault="002A6B25" w:rsidP="00380E4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C2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2 – </w:t>
            </w:r>
            <w:r w:rsidRPr="00CB45BE">
              <w:rPr>
                <w:color w:val="auto"/>
              </w:rPr>
              <w:t>Z</w:t>
            </w:r>
            <w:r>
              <w:rPr>
                <w:color w:val="auto"/>
              </w:rPr>
              <w:t xml:space="preserve">asady wprowadzania danych, typy </w:t>
            </w:r>
            <w:r w:rsidRPr="00CB45BE">
              <w:rPr>
                <w:color w:val="auto"/>
              </w:rPr>
              <w:t>danych, operatory logiczne, arytmetyczne, adresowanie, funkcje.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645D630" w14:textId="394DEE39" w:rsidR="002A6B25" w:rsidRDefault="002A6B25" w:rsidP="00B441FA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>, W1</w:t>
            </w:r>
          </w:p>
        </w:tc>
      </w:tr>
      <w:tr w:rsidR="002A6B25" w14:paraId="35868D80" w14:textId="77777777" w:rsidTr="00B607F0">
        <w:tc>
          <w:tcPr>
            <w:tcW w:w="1696" w:type="dxa"/>
            <w:vMerge/>
            <w:shd w:val="clear" w:color="auto" w:fill="F2F2F2"/>
          </w:tcPr>
          <w:p w14:paraId="0917F393" w14:textId="58FE74D8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6E801F3" w14:textId="2D6D6B1F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C3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3 – </w:t>
            </w:r>
            <w:r w:rsidRPr="00CB45BE">
              <w:rPr>
                <w:color w:val="auto"/>
              </w:rPr>
              <w:t xml:space="preserve">Sortowanie, filtrowanie, formatowanie warunkowe. </w:t>
            </w:r>
            <w:proofErr w:type="spellStart"/>
            <w:r w:rsidRPr="00CB45BE">
              <w:rPr>
                <w:color w:val="auto"/>
              </w:rPr>
              <w:t>Omówienie</w:t>
            </w:r>
            <w:proofErr w:type="spellEnd"/>
            <w:r w:rsidRPr="00CB45BE">
              <w:rPr>
                <w:color w:val="auto"/>
              </w:rPr>
              <w:t xml:space="preserve"> wybranych metod grupowania i filtrowania danych z wykorzystaniem standardowych opcji interfejsu </w:t>
            </w:r>
            <w:proofErr w:type="spellStart"/>
            <w:r w:rsidRPr="00CB45BE">
              <w:rPr>
                <w:color w:val="auto"/>
              </w:rPr>
              <w:t>użytkownika</w:t>
            </w:r>
            <w:proofErr w:type="spellEnd"/>
            <w:r w:rsidRPr="00CB45BE">
              <w:rPr>
                <w:color w:val="auto"/>
              </w:rPr>
              <w:t>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3D9FC648" w14:textId="40AB04A1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>, W2</w:t>
            </w:r>
          </w:p>
        </w:tc>
      </w:tr>
      <w:tr w:rsidR="002A6B25" w14:paraId="119C9EBF" w14:textId="77777777" w:rsidTr="00B607F0">
        <w:tc>
          <w:tcPr>
            <w:tcW w:w="1696" w:type="dxa"/>
            <w:vMerge/>
            <w:shd w:val="clear" w:color="auto" w:fill="F2F2F2"/>
          </w:tcPr>
          <w:p w14:paraId="05EF3D12" w14:textId="7DCA729A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6069FA6" w14:textId="1AF98CF8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C4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4 – </w:t>
            </w:r>
            <w:r w:rsidRPr="00CB45BE">
              <w:rPr>
                <w:color w:val="auto"/>
              </w:rPr>
              <w:t xml:space="preserve">Funkcje. Funkcje proste i </w:t>
            </w:r>
            <w:proofErr w:type="spellStart"/>
            <w:r w:rsidRPr="00CB45BE">
              <w:rPr>
                <w:color w:val="auto"/>
              </w:rPr>
              <w:t>złożone</w:t>
            </w:r>
            <w:proofErr w:type="spellEnd"/>
            <w:r w:rsidRPr="00CB45BE">
              <w:rPr>
                <w:color w:val="auto"/>
              </w:rPr>
              <w:t xml:space="preserve">, </w:t>
            </w:r>
            <w:proofErr w:type="spellStart"/>
            <w:r w:rsidRPr="00CB45BE">
              <w:rPr>
                <w:color w:val="auto"/>
              </w:rPr>
              <w:t>zagnieżdżanie</w:t>
            </w:r>
            <w:proofErr w:type="spellEnd"/>
            <w:r w:rsidRPr="00CB45BE">
              <w:rPr>
                <w:color w:val="auto"/>
              </w:rPr>
              <w:t xml:space="preserve"> funkcji, adresowanie </w:t>
            </w:r>
            <w:proofErr w:type="spellStart"/>
            <w:r w:rsidRPr="00CB45BE">
              <w:rPr>
                <w:color w:val="auto"/>
              </w:rPr>
              <w:t>względne</w:t>
            </w:r>
            <w:proofErr w:type="spellEnd"/>
            <w:r w:rsidRPr="00CB45BE">
              <w:rPr>
                <w:color w:val="auto"/>
              </w:rPr>
              <w:t xml:space="preserve"> i </w:t>
            </w:r>
            <w:proofErr w:type="spellStart"/>
            <w:r w:rsidRPr="00CB45BE">
              <w:rPr>
                <w:color w:val="auto"/>
              </w:rPr>
              <w:t>bezwzględne</w:t>
            </w:r>
            <w:proofErr w:type="spellEnd"/>
            <w:r w:rsidRPr="00CB45BE">
              <w:rPr>
                <w:color w:val="auto"/>
              </w:rPr>
              <w:t>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727816B" w14:textId="7BDD6269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>, W2</w:t>
            </w:r>
          </w:p>
        </w:tc>
      </w:tr>
      <w:tr w:rsidR="002A6B25" w14:paraId="0FBCE1EE" w14:textId="77777777" w:rsidTr="00B607F0">
        <w:tc>
          <w:tcPr>
            <w:tcW w:w="1696" w:type="dxa"/>
            <w:vMerge/>
            <w:shd w:val="clear" w:color="auto" w:fill="F2F2F2"/>
          </w:tcPr>
          <w:p w14:paraId="4082B3B1" w14:textId="741B3B2E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13470E1" w14:textId="4AD274A1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C5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5 – </w:t>
            </w:r>
            <w:r w:rsidRPr="00CB45BE">
              <w:rPr>
                <w:color w:val="auto"/>
              </w:rPr>
              <w:t xml:space="preserve">Operacje na </w:t>
            </w:r>
            <w:proofErr w:type="spellStart"/>
            <w:r w:rsidRPr="00CB45BE">
              <w:rPr>
                <w:color w:val="auto"/>
              </w:rPr>
              <w:t>tekście</w:t>
            </w:r>
            <w:proofErr w:type="spellEnd"/>
            <w:r w:rsidRPr="00CB45BE">
              <w:rPr>
                <w:color w:val="auto"/>
              </w:rPr>
              <w:t>. Przygotowanie i przetwarzanie danych tekstowych. Funkcje stosowane do danych tekstowych.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3DB50F1" w14:textId="21BEF608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>, U1</w:t>
            </w:r>
          </w:p>
        </w:tc>
      </w:tr>
      <w:tr w:rsidR="002A6B25" w14:paraId="13FBEED8" w14:textId="77777777" w:rsidTr="00B607F0">
        <w:tc>
          <w:tcPr>
            <w:tcW w:w="1696" w:type="dxa"/>
            <w:vMerge/>
            <w:shd w:val="clear" w:color="auto" w:fill="F2F2F2"/>
          </w:tcPr>
          <w:p w14:paraId="5C3419A9" w14:textId="128F5993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C95D0F" w14:textId="6FD96CD3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C6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6 – </w:t>
            </w:r>
            <w:r w:rsidRPr="00CB45BE">
              <w:rPr>
                <w:color w:val="auto"/>
              </w:rPr>
              <w:t>Funkcje statystyczne. Elementy analizy statystycznej z wykorzystaniem arkusza kalkulacyjnego. Statystyka opisowa</w:t>
            </w:r>
            <w:r>
              <w:rPr>
                <w:color w:val="auto"/>
              </w:rPr>
              <w:t>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2903DB2C" w14:textId="771552BF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B.W28.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W2</w:t>
            </w:r>
          </w:p>
        </w:tc>
      </w:tr>
      <w:tr w:rsidR="002A6B25" w14:paraId="6A7BF766" w14:textId="77777777" w:rsidTr="00B607F0">
        <w:tc>
          <w:tcPr>
            <w:tcW w:w="1696" w:type="dxa"/>
            <w:vMerge/>
            <w:shd w:val="clear" w:color="auto" w:fill="F2F2F2"/>
          </w:tcPr>
          <w:p w14:paraId="43068F5D" w14:textId="51DEF947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6DB6B3C8" w14:textId="431DED59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C7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7 – </w:t>
            </w:r>
            <w:r w:rsidRPr="00CB45BE">
              <w:rPr>
                <w:color w:val="auto"/>
              </w:rPr>
              <w:t xml:space="preserve">Wizualizacja danych. Wykresy.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151BE70F" w14:textId="62F66649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006E2F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K1, K2</w:t>
            </w:r>
          </w:p>
        </w:tc>
      </w:tr>
      <w:tr w:rsidR="002A6B25" w14:paraId="1F7CE1A6" w14:textId="77777777" w:rsidTr="00B607F0">
        <w:tc>
          <w:tcPr>
            <w:tcW w:w="1696" w:type="dxa"/>
            <w:vMerge/>
            <w:shd w:val="clear" w:color="auto" w:fill="F2F2F2"/>
          </w:tcPr>
          <w:p w14:paraId="30CEF2CD" w14:textId="13A4D2E8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0E4567C9" w14:textId="0ED171C2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C8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8 – </w:t>
            </w:r>
            <w:r w:rsidRPr="00CB45BE">
              <w:rPr>
                <w:color w:val="auto"/>
              </w:rPr>
              <w:t>Przetwarzanie danych (</w:t>
            </w:r>
            <w:proofErr w:type="spellStart"/>
            <w:r w:rsidRPr="00CB45BE">
              <w:rPr>
                <w:color w:val="auto"/>
              </w:rPr>
              <w:t>częśc</w:t>
            </w:r>
            <w:proofErr w:type="spellEnd"/>
            <w:r w:rsidRPr="00CB45BE">
              <w:rPr>
                <w:color w:val="auto"/>
              </w:rPr>
              <w:t xml:space="preserve">́ 1). Zaawansowane zastosowanie arkusza kalkulacyjnego w przetwarzaniu danych.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17AB3E2C" w14:textId="7DB8E5DB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 xml:space="preserve">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W1, W2, K1, K2</w:t>
            </w:r>
          </w:p>
        </w:tc>
      </w:tr>
      <w:tr w:rsidR="002A6B25" w14:paraId="1EF781BD" w14:textId="77777777" w:rsidTr="00B607F0">
        <w:tc>
          <w:tcPr>
            <w:tcW w:w="1696" w:type="dxa"/>
            <w:vMerge/>
            <w:shd w:val="clear" w:color="auto" w:fill="F2F2F2"/>
          </w:tcPr>
          <w:p w14:paraId="14E9519C" w14:textId="60A753DF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EC78E8" w14:textId="3910C41E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C9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9 – </w:t>
            </w:r>
            <w:r w:rsidRPr="00CB45BE">
              <w:rPr>
                <w:color w:val="auto"/>
              </w:rPr>
              <w:t>Przetwarzanie danych (</w:t>
            </w:r>
            <w:proofErr w:type="spellStart"/>
            <w:r w:rsidRPr="00CB45BE">
              <w:rPr>
                <w:color w:val="auto"/>
              </w:rPr>
              <w:t>częśc</w:t>
            </w:r>
            <w:proofErr w:type="spellEnd"/>
            <w:r w:rsidRPr="00CB45BE">
              <w:rPr>
                <w:color w:val="auto"/>
              </w:rPr>
              <w:t xml:space="preserve">́ 2). Zaawansowane zastosowanie arkusza kalkulacyjnego w przetwarzaniu danych.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6BE72EB3" w14:textId="39570B01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 xml:space="preserve">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W1, W2, K1, K2</w:t>
            </w:r>
          </w:p>
        </w:tc>
      </w:tr>
      <w:tr w:rsidR="002A6B25" w14:paraId="39FA442B" w14:textId="77777777" w:rsidTr="00B607F0">
        <w:tc>
          <w:tcPr>
            <w:tcW w:w="1696" w:type="dxa"/>
            <w:vMerge/>
            <w:shd w:val="clear" w:color="auto" w:fill="F2F2F2"/>
          </w:tcPr>
          <w:p w14:paraId="1838FB1E" w14:textId="66A8FA12" w:rsidR="002A6B25" w:rsidRDefault="002A6B25" w:rsidP="00346B5C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D065E00" w14:textId="154A90A9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</w:t>
            </w:r>
            <w:r>
              <w:rPr>
                <w:b/>
                <w:bCs/>
                <w:iCs/>
                <w:color w:val="000000" w:themeColor="text1"/>
              </w:rPr>
              <w:t>0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10 – </w:t>
            </w:r>
            <w:r w:rsidRPr="00CB45BE">
              <w:rPr>
                <w:color w:val="auto"/>
              </w:rPr>
              <w:t>Przetwarzanie danych (</w:t>
            </w:r>
            <w:proofErr w:type="spellStart"/>
            <w:r w:rsidRPr="00CB45BE">
              <w:rPr>
                <w:color w:val="auto"/>
              </w:rPr>
              <w:t>częśc</w:t>
            </w:r>
            <w:proofErr w:type="spellEnd"/>
            <w:r w:rsidRPr="00CB45BE">
              <w:rPr>
                <w:color w:val="auto"/>
              </w:rPr>
              <w:t xml:space="preserve">́ 3). Zaawansowane zastosowanie arkusza kalkulacyjnego w przetwarzaniu danych. </w:t>
            </w:r>
            <w:proofErr w:type="spellStart"/>
            <w:r w:rsidRPr="00CB45BE">
              <w:rPr>
                <w:color w:val="auto"/>
              </w:rPr>
              <w:t>Ćwiczenia</w:t>
            </w:r>
            <w:proofErr w:type="spellEnd"/>
            <w:r w:rsidRPr="00CB45BE">
              <w:rPr>
                <w:color w:val="auto"/>
              </w:rPr>
              <w:t xml:space="preserve"> na przykładowych danych klinicznych.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5851175E" w14:textId="76E00A6A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 xml:space="preserve">.,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B.U11.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B.U13.</w:t>
            </w:r>
            <w:r>
              <w:rPr>
                <w:color w:val="auto"/>
              </w:rPr>
              <w:t>, W2, K1, K2</w:t>
            </w:r>
          </w:p>
        </w:tc>
      </w:tr>
      <w:tr w:rsidR="002A6B25" w14:paraId="64CAC3AB" w14:textId="77777777" w:rsidTr="00B607F0">
        <w:tc>
          <w:tcPr>
            <w:tcW w:w="1696" w:type="dxa"/>
            <w:vMerge/>
            <w:shd w:val="clear" w:color="auto" w:fill="F2F2F2"/>
          </w:tcPr>
          <w:p w14:paraId="5116095A" w14:textId="3A88C5CB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719278" w14:textId="70AA941C" w:rsidR="002A6B25" w:rsidRDefault="002A6B25" w:rsidP="00346B5C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</w:t>
            </w:r>
            <w:r>
              <w:rPr>
                <w:b/>
                <w:bCs/>
                <w:iCs/>
                <w:color w:val="000000" w:themeColor="text1"/>
              </w:rPr>
              <w:t>1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11 – </w:t>
            </w:r>
            <w:r w:rsidRPr="00CB45BE">
              <w:rPr>
                <w:color w:val="auto"/>
              </w:rPr>
              <w:t xml:space="preserve">Wybrane opcje programu Excel </w:t>
            </w:r>
            <w:proofErr w:type="spellStart"/>
            <w:r w:rsidRPr="00CB45BE">
              <w:rPr>
                <w:color w:val="auto"/>
              </w:rPr>
              <w:t>ułatwiające</w:t>
            </w:r>
            <w:proofErr w:type="spellEnd"/>
            <w:r w:rsidRPr="00CB45BE">
              <w:rPr>
                <w:color w:val="auto"/>
              </w:rPr>
              <w:t xml:space="preserve"> pracę z danymi. Ochrona danych i </w:t>
            </w:r>
            <w:proofErr w:type="spellStart"/>
            <w:r w:rsidRPr="00CB45BE">
              <w:rPr>
                <w:color w:val="auto"/>
              </w:rPr>
              <w:t>skróty</w:t>
            </w:r>
            <w:proofErr w:type="spellEnd"/>
            <w:r w:rsidRPr="00CB45BE">
              <w:rPr>
                <w:color w:val="auto"/>
              </w:rPr>
              <w:t xml:space="preserve"> klawiszowe.</w:t>
            </w:r>
            <w:r w:rsidR="006526E2">
              <w:rPr>
                <w:color w:val="auto"/>
              </w:rPr>
              <w:br/>
            </w:r>
            <w:r w:rsidR="006526E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2947" w:type="dxa"/>
            <w:shd w:val="clear" w:color="auto" w:fill="F2F2F2"/>
          </w:tcPr>
          <w:p w14:paraId="010CD818" w14:textId="7187F4BD" w:rsidR="002A6B25" w:rsidRDefault="002A6B25" w:rsidP="00346B5C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741FBC">
              <w:rPr>
                <w:color w:val="auto"/>
              </w:rPr>
              <w:t>B.W26.</w:t>
            </w:r>
            <w:r>
              <w:rPr>
                <w:color w:val="auto"/>
              </w:rPr>
              <w:t xml:space="preserve">, </w:t>
            </w:r>
            <w:r w:rsidRPr="00BA7A3B">
              <w:rPr>
                <w:color w:val="auto"/>
              </w:rPr>
              <w:t>B.U10.</w:t>
            </w:r>
            <w:r>
              <w:rPr>
                <w:color w:val="auto"/>
              </w:rPr>
              <w:t>, K1, K2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0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34550D70" w:rsidR="00014630" w:rsidRPr="00C01834" w:rsidRDefault="00506D67" w:rsidP="00506D67">
            <w:pPr>
              <w:spacing w:after="0" w:line="259" w:lineRule="auto"/>
              <w:ind w:left="0" w:right="243" w:firstLine="0"/>
              <w:rPr>
                <w:color w:val="auto"/>
              </w:rPr>
            </w:pPr>
            <w:r>
              <w:rPr>
                <w:color w:val="auto"/>
              </w:rPr>
              <w:t xml:space="preserve">1. Materiały publikowane na </w:t>
            </w:r>
            <w:r w:rsidRPr="00506D67">
              <w:rPr>
                <w:color w:val="auto"/>
              </w:rPr>
              <w:t xml:space="preserve">Platformie e-learningowej w </w:t>
            </w:r>
            <w:proofErr w:type="spellStart"/>
            <w:r w:rsidRPr="00506D67">
              <w:rPr>
                <w:color w:val="auto"/>
              </w:rPr>
              <w:t>obrębie</w:t>
            </w:r>
            <w:proofErr w:type="spellEnd"/>
            <w:r w:rsidRPr="00506D67">
              <w:rPr>
                <w:color w:val="auto"/>
              </w:rPr>
              <w:t xml:space="preserve"> prowadzonego kursu </w:t>
            </w:r>
            <w:r>
              <w:rPr>
                <w:color w:val="auto"/>
              </w:rPr>
              <w:br/>
            </w:r>
            <w:r w:rsidRPr="00506D67">
              <w:rPr>
                <w:color w:val="auto"/>
              </w:rPr>
              <w:t>2. Centrum pomocy produktu Excel https://support.office.com/pl-pl/excel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0CF32D86" w:rsidR="00A3096F" w:rsidRPr="00C01834" w:rsidRDefault="00D16F35" w:rsidP="002A6B2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16F35">
              <w:rPr>
                <w:color w:val="auto"/>
              </w:rPr>
              <w:t>B.W26., B.W27., B.W28., B.U10., B.U11., B.U13.</w:t>
            </w:r>
            <w:r w:rsidR="002A6B25">
              <w:rPr>
                <w:color w:val="auto"/>
              </w:rPr>
              <w:t>, W1, W2, U1, K1, K2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D6AFFF8" w:rsidR="00A3096F" w:rsidRPr="00C01834" w:rsidRDefault="00247B84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Samodzielne wykonanie ocenianego zadania oraz test końcowy (w obrębie każdej z form zajęć)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CA2556D" w:rsidR="00A3096F" w:rsidRPr="00C01834" w:rsidRDefault="00247B8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Uzyskanie progu zaliczeniowego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82638AE" w:rsidR="00014630" w:rsidRPr="00E55362" w:rsidRDefault="00E55362" w:rsidP="002A6B25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2E84F7" w14:textId="7AC0493C" w:rsidR="00380E43" w:rsidRPr="002A6B25" w:rsidRDefault="00380E43" w:rsidP="00CF4360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Fakultet jest realizowany w semestrze zimowym lub letnim. </w:t>
            </w:r>
            <w:r w:rsidRPr="002A6B25">
              <w:rPr>
                <w:bCs/>
                <w:color w:val="auto"/>
              </w:rPr>
              <w:t>Student może zapisać się tylko na jedną edycję fakultetu.</w:t>
            </w:r>
          </w:p>
          <w:p w14:paraId="616CFCB6" w14:textId="400124EC" w:rsidR="00D16F35" w:rsidRPr="002A6B25" w:rsidRDefault="00D16F35" w:rsidP="00CF4360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2A6B25">
              <w:rPr>
                <w:bCs/>
                <w:color w:val="auto"/>
              </w:rPr>
              <w:t xml:space="preserve">Pierwsze zajęcia </w:t>
            </w:r>
            <w:r w:rsidR="00380E43" w:rsidRPr="002A6B25">
              <w:rPr>
                <w:bCs/>
                <w:color w:val="auto"/>
              </w:rPr>
              <w:t xml:space="preserve">w każdej edycji </w:t>
            </w:r>
            <w:r w:rsidRPr="002A6B25">
              <w:rPr>
                <w:bCs/>
                <w:color w:val="auto"/>
              </w:rPr>
              <w:t>odbywają się w klasycznej formie w Zakładzie Informatyki Medycznej i Telemedycyny (</w:t>
            </w:r>
            <w:r w:rsidR="0041445E" w:rsidRPr="002A6B25">
              <w:rPr>
                <w:bCs/>
                <w:color w:val="auto"/>
              </w:rPr>
              <w:t xml:space="preserve">Warszawa, </w:t>
            </w:r>
            <w:r w:rsidRPr="002A6B25">
              <w:rPr>
                <w:bCs/>
                <w:color w:val="auto"/>
              </w:rPr>
              <w:t xml:space="preserve">ul. Litewska 16, 3 </w:t>
            </w:r>
            <w:r w:rsidR="00380E43" w:rsidRPr="002A6B25">
              <w:rPr>
                <w:bCs/>
                <w:color w:val="auto"/>
              </w:rPr>
              <w:t>piętro</w:t>
            </w:r>
            <w:r w:rsidRPr="002A6B25">
              <w:rPr>
                <w:bCs/>
                <w:color w:val="auto"/>
              </w:rPr>
              <w:t>).</w:t>
            </w:r>
            <w:r w:rsidR="0041445E" w:rsidRPr="002A6B25">
              <w:rPr>
                <w:bCs/>
                <w:color w:val="auto"/>
              </w:rPr>
              <w:t xml:space="preserve"> </w:t>
            </w:r>
            <w:r w:rsidR="002739FA" w:rsidRPr="002A6B25">
              <w:rPr>
                <w:bCs/>
                <w:color w:val="auto"/>
              </w:rPr>
              <w:t>Kolejne tematy</w:t>
            </w:r>
            <w:r w:rsidR="0041445E" w:rsidRPr="002A6B25">
              <w:rPr>
                <w:bCs/>
                <w:color w:val="auto"/>
              </w:rPr>
              <w:t xml:space="preserve"> zajęć</w:t>
            </w:r>
            <w:r w:rsidR="002739FA" w:rsidRPr="002A6B25">
              <w:rPr>
                <w:bCs/>
                <w:color w:val="auto"/>
              </w:rPr>
              <w:t xml:space="preserve"> </w:t>
            </w:r>
            <w:r w:rsidR="00380E43" w:rsidRPr="002A6B25">
              <w:rPr>
                <w:bCs/>
                <w:color w:val="auto"/>
              </w:rPr>
              <w:t xml:space="preserve">oraz zaliczenie </w:t>
            </w:r>
            <w:r w:rsidR="002739FA" w:rsidRPr="002A6B25">
              <w:rPr>
                <w:bCs/>
                <w:color w:val="auto"/>
              </w:rPr>
              <w:t xml:space="preserve">realizowane </w:t>
            </w:r>
            <w:r w:rsidR="00CF4360" w:rsidRPr="002A6B25">
              <w:rPr>
                <w:bCs/>
                <w:color w:val="auto"/>
              </w:rPr>
              <w:t>są</w:t>
            </w:r>
            <w:r w:rsidRPr="002A6B25">
              <w:rPr>
                <w:bCs/>
                <w:color w:val="auto"/>
              </w:rPr>
              <w:t xml:space="preserve"> na platformie e-learningowej Warszawskiego Uniwersytetu Medycznego</w:t>
            </w:r>
            <w:r w:rsidR="00380E43" w:rsidRPr="002A6B25">
              <w:rPr>
                <w:bCs/>
                <w:color w:val="auto"/>
              </w:rPr>
              <w:t xml:space="preserve"> (e</w:t>
            </w:r>
            <w:r w:rsidR="00380E43" w:rsidRPr="002A6B25">
              <w:rPr>
                <w:bCs/>
                <w:color w:val="auto"/>
              </w:rPr>
              <w:noBreakHyphen/>
              <w:t>learning.wum.edu.pl</w:t>
            </w:r>
            <w:r w:rsidR="006D0A13" w:rsidRPr="002A6B25">
              <w:rPr>
                <w:bCs/>
                <w:color w:val="auto"/>
              </w:rPr>
              <w:t>)</w:t>
            </w:r>
          </w:p>
          <w:p w14:paraId="3FE97953" w14:textId="227B082C" w:rsidR="002739FA" w:rsidRPr="002A6B25" w:rsidRDefault="002739FA" w:rsidP="00CF4360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Pierwsze spotkanie </w:t>
            </w:r>
            <w:r w:rsidR="006D0A13">
              <w:rPr>
                <w:b/>
                <w:color w:val="auto"/>
              </w:rPr>
              <w:t>odbywa się</w:t>
            </w:r>
            <w:r>
              <w:rPr>
                <w:b/>
                <w:color w:val="auto"/>
              </w:rPr>
              <w:t xml:space="preserve"> zawsze w godzinach popołudniowych </w:t>
            </w:r>
            <w:r w:rsidR="006D0A13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 xml:space="preserve">po 16:00. </w:t>
            </w:r>
            <w:r w:rsidRPr="002A6B25">
              <w:rPr>
                <w:bCs/>
                <w:color w:val="auto"/>
              </w:rPr>
              <w:t>Szczegółowa informacja o wyznaczonej dacie spotkania udostępniona będzie na stronie</w:t>
            </w:r>
            <w:r w:rsidR="0041445E" w:rsidRPr="002A6B25">
              <w:rPr>
                <w:bCs/>
                <w:color w:val="auto"/>
              </w:rPr>
              <w:t xml:space="preserve"> Zakładu Informatyki Medycznej i Telemedycyny (</w:t>
            </w:r>
            <w:hyperlink r:id="rId9" w:history="1">
              <w:r w:rsidR="0041445E" w:rsidRPr="002A6B25">
                <w:rPr>
                  <w:rStyle w:val="Hipercze"/>
                  <w:bCs/>
                </w:rPr>
                <w:t>http://zimit.wum.edu.pl/fakultety-harmonogram/</w:t>
              </w:r>
            </w:hyperlink>
            <w:r w:rsidR="0041445E" w:rsidRPr="002A6B25">
              <w:rPr>
                <w:bCs/>
                <w:color w:val="auto"/>
              </w:rPr>
              <w:t>)</w:t>
            </w:r>
            <w:r w:rsidRPr="002A6B25">
              <w:rPr>
                <w:bCs/>
                <w:color w:val="auto"/>
              </w:rPr>
              <w:t xml:space="preserve"> w pierwszym tygodniu seme</w:t>
            </w:r>
            <w:r w:rsidR="0041445E" w:rsidRPr="002A6B25">
              <w:rPr>
                <w:bCs/>
                <w:color w:val="auto"/>
              </w:rPr>
              <w:t>s</w:t>
            </w:r>
            <w:r w:rsidRPr="002A6B25">
              <w:rPr>
                <w:bCs/>
                <w:color w:val="auto"/>
              </w:rPr>
              <w:t>tru</w:t>
            </w:r>
            <w:r w:rsidR="0041445E" w:rsidRPr="002A6B25">
              <w:rPr>
                <w:bCs/>
                <w:color w:val="auto"/>
              </w:rPr>
              <w:t xml:space="preserve"> zi</w:t>
            </w:r>
            <w:r w:rsidRPr="002A6B25">
              <w:rPr>
                <w:bCs/>
                <w:color w:val="auto"/>
              </w:rPr>
              <w:t>mowego</w:t>
            </w:r>
            <w:r w:rsidR="00380E43" w:rsidRPr="002A6B25">
              <w:rPr>
                <w:bCs/>
                <w:color w:val="auto"/>
              </w:rPr>
              <w:t xml:space="preserve"> i letniego</w:t>
            </w:r>
            <w:r w:rsidRPr="002A6B25">
              <w:rPr>
                <w:bCs/>
                <w:color w:val="auto"/>
              </w:rPr>
              <w:t>.</w:t>
            </w:r>
          </w:p>
          <w:p w14:paraId="0286164B" w14:textId="77777777" w:rsidR="0041445E" w:rsidRDefault="0041445E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605A944D" w14:textId="77777777" w:rsidR="006C0F5C" w:rsidRDefault="0041445E" w:rsidP="00CF4360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41445E">
              <w:rPr>
                <w:b/>
                <w:color w:val="auto"/>
              </w:rPr>
              <w:t>Ocena</w:t>
            </w:r>
            <w:r>
              <w:rPr>
                <w:b/>
                <w:color w:val="auto"/>
              </w:rPr>
              <w:t xml:space="preserve"> z fakultetu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jest wystawiana</w:t>
            </w:r>
            <w:r w:rsidRPr="0041445E">
              <w:rPr>
                <w:b/>
                <w:color w:val="auto"/>
              </w:rPr>
              <w:t xml:space="preserve"> na podstawie sumy </w:t>
            </w:r>
            <w:r w:rsidR="00380E43" w:rsidRPr="0041445E">
              <w:rPr>
                <w:b/>
                <w:color w:val="auto"/>
              </w:rPr>
              <w:t>punktów</w:t>
            </w:r>
            <w:r w:rsidRPr="0041445E">
              <w:rPr>
                <w:b/>
                <w:color w:val="auto"/>
              </w:rPr>
              <w:t xml:space="preserve"> uzyskanych w trakcie</w:t>
            </w:r>
            <w:r>
              <w:rPr>
                <w:b/>
                <w:color w:val="auto"/>
              </w:rPr>
              <w:t xml:space="preserve"> realizacji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kolejnych zajęć e-learningowych</w:t>
            </w:r>
            <w:r w:rsidRPr="0041445E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3B467D56" w14:textId="77777777" w:rsidR="006C0F5C" w:rsidRPr="006C0F5C" w:rsidRDefault="006C0F5C" w:rsidP="006C0F5C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47A017A8" w14:textId="77777777" w:rsidR="002A6B25" w:rsidRPr="00516C44" w:rsidRDefault="002A6B25" w:rsidP="002A6B25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63B875A6" w14:textId="77777777" w:rsidR="002A6B25" w:rsidRPr="001C250A" w:rsidRDefault="002A6B25" w:rsidP="002A6B25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– opiekun: Emanuel </w:t>
            </w:r>
            <w:proofErr w:type="spellStart"/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Tataj</w:t>
            </w:r>
            <w:proofErr w:type="spellEnd"/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(kontakt: emanuel.tataj@wum.edu.pl)</w:t>
            </w:r>
          </w:p>
          <w:p w14:paraId="677E6E8D" w14:textId="3686578B" w:rsidR="00014630" w:rsidRPr="00C01834" w:rsidRDefault="002A6B25" w:rsidP="002A6B25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AEFD" w14:textId="77777777" w:rsidR="00D82F6F" w:rsidRDefault="00D82F6F">
      <w:pPr>
        <w:spacing w:after="0" w:line="240" w:lineRule="auto"/>
      </w:pPr>
      <w:r>
        <w:separator/>
      </w:r>
    </w:p>
  </w:endnote>
  <w:endnote w:type="continuationSeparator" w:id="0">
    <w:p w14:paraId="684C8DEA" w14:textId="77777777" w:rsidR="00D82F6F" w:rsidRDefault="00D8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E3C97" w:rsidRPr="009E3C97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9E3C97" w:rsidRPr="009E3C97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DFAC" w14:textId="77777777" w:rsidR="00D82F6F" w:rsidRDefault="00D82F6F">
      <w:pPr>
        <w:spacing w:after="0" w:line="240" w:lineRule="auto"/>
      </w:pPr>
      <w:r>
        <w:separator/>
      </w:r>
    </w:p>
  </w:footnote>
  <w:footnote w:type="continuationSeparator" w:id="0">
    <w:p w14:paraId="00D9D803" w14:textId="77777777" w:rsidR="00D82F6F" w:rsidRDefault="00D8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05B0"/>
    <w:multiLevelType w:val="hybridMultilevel"/>
    <w:tmpl w:val="40E4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BC4"/>
    <w:multiLevelType w:val="hybridMultilevel"/>
    <w:tmpl w:val="F53A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AF1"/>
    <w:multiLevelType w:val="hybridMultilevel"/>
    <w:tmpl w:val="1C4C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05E23"/>
    <w:rsid w:val="00014630"/>
    <w:rsid w:val="00042B01"/>
    <w:rsid w:val="000A61A5"/>
    <w:rsid w:val="000C639F"/>
    <w:rsid w:val="000E2F71"/>
    <w:rsid w:val="000E7357"/>
    <w:rsid w:val="000F17C2"/>
    <w:rsid w:val="000F5CA2"/>
    <w:rsid w:val="00133592"/>
    <w:rsid w:val="00141A71"/>
    <w:rsid w:val="00160769"/>
    <w:rsid w:val="00181CEC"/>
    <w:rsid w:val="001C78B8"/>
    <w:rsid w:val="001E63CB"/>
    <w:rsid w:val="001F028B"/>
    <w:rsid w:val="001F4981"/>
    <w:rsid w:val="001F6ECF"/>
    <w:rsid w:val="002066C4"/>
    <w:rsid w:val="00233F0A"/>
    <w:rsid w:val="002419AB"/>
    <w:rsid w:val="002453B1"/>
    <w:rsid w:val="0024594D"/>
    <w:rsid w:val="00247B84"/>
    <w:rsid w:val="002739FA"/>
    <w:rsid w:val="002A6B25"/>
    <w:rsid w:val="002F3B26"/>
    <w:rsid w:val="00346B5C"/>
    <w:rsid w:val="0035040A"/>
    <w:rsid w:val="00380E43"/>
    <w:rsid w:val="003938CE"/>
    <w:rsid w:val="003E3DDC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0BC9"/>
    <w:rsid w:val="004C4FB6"/>
    <w:rsid w:val="004D4716"/>
    <w:rsid w:val="00506D67"/>
    <w:rsid w:val="00520534"/>
    <w:rsid w:val="005944D4"/>
    <w:rsid w:val="00595ED3"/>
    <w:rsid w:val="005B457F"/>
    <w:rsid w:val="0064087A"/>
    <w:rsid w:val="006526E2"/>
    <w:rsid w:val="00672988"/>
    <w:rsid w:val="006A442B"/>
    <w:rsid w:val="006B012B"/>
    <w:rsid w:val="006C0F5C"/>
    <w:rsid w:val="006C524C"/>
    <w:rsid w:val="006D018B"/>
    <w:rsid w:val="006D0A13"/>
    <w:rsid w:val="00702548"/>
    <w:rsid w:val="007141B6"/>
    <w:rsid w:val="00724BB4"/>
    <w:rsid w:val="00724F33"/>
    <w:rsid w:val="00732391"/>
    <w:rsid w:val="00732CF5"/>
    <w:rsid w:val="00792FD5"/>
    <w:rsid w:val="007C0302"/>
    <w:rsid w:val="00861D21"/>
    <w:rsid w:val="008A2F0E"/>
    <w:rsid w:val="008B0E82"/>
    <w:rsid w:val="008C324B"/>
    <w:rsid w:val="008C72A2"/>
    <w:rsid w:val="008E456D"/>
    <w:rsid w:val="008E592D"/>
    <w:rsid w:val="008F1E5D"/>
    <w:rsid w:val="00900EC6"/>
    <w:rsid w:val="00901188"/>
    <w:rsid w:val="009B62DF"/>
    <w:rsid w:val="009E3C97"/>
    <w:rsid w:val="009E635F"/>
    <w:rsid w:val="009F6016"/>
    <w:rsid w:val="00A3096F"/>
    <w:rsid w:val="00A42ACC"/>
    <w:rsid w:val="00A45EFB"/>
    <w:rsid w:val="00A63CE6"/>
    <w:rsid w:val="00A7152B"/>
    <w:rsid w:val="00AD2F54"/>
    <w:rsid w:val="00B5341A"/>
    <w:rsid w:val="00B5568B"/>
    <w:rsid w:val="00B607F0"/>
    <w:rsid w:val="00B8221A"/>
    <w:rsid w:val="00B93718"/>
    <w:rsid w:val="00BA7A3B"/>
    <w:rsid w:val="00BB2094"/>
    <w:rsid w:val="00BB23E6"/>
    <w:rsid w:val="00BF74E9"/>
    <w:rsid w:val="00BF7BFD"/>
    <w:rsid w:val="00C01834"/>
    <w:rsid w:val="00C24D59"/>
    <w:rsid w:val="00C45046"/>
    <w:rsid w:val="00C646E9"/>
    <w:rsid w:val="00C92ECE"/>
    <w:rsid w:val="00CA3ACF"/>
    <w:rsid w:val="00CB45BE"/>
    <w:rsid w:val="00CF4360"/>
    <w:rsid w:val="00CF619E"/>
    <w:rsid w:val="00D16F35"/>
    <w:rsid w:val="00D320E0"/>
    <w:rsid w:val="00D56CEB"/>
    <w:rsid w:val="00D82F6F"/>
    <w:rsid w:val="00D928FC"/>
    <w:rsid w:val="00D93A54"/>
    <w:rsid w:val="00DF679B"/>
    <w:rsid w:val="00E261B6"/>
    <w:rsid w:val="00E33CFA"/>
    <w:rsid w:val="00E55362"/>
    <w:rsid w:val="00E6064C"/>
    <w:rsid w:val="00E817B4"/>
    <w:rsid w:val="00EB4E6F"/>
    <w:rsid w:val="00EE3C26"/>
    <w:rsid w:val="00EE6DD6"/>
    <w:rsid w:val="00F016D9"/>
    <w:rsid w:val="00F26256"/>
    <w:rsid w:val="00F56E87"/>
    <w:rsid w:val="00F83E5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it.wum.edu.pl/fakultety-harmon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0212-696B-43C4-9057-7544801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Anna Gołębiewska</cp:lastModifiedBy>
  <cp:revision>2</cp:revision>
  <cp:lastPrinted>2021-09-07T07:19:00Z</cp:lastPrinted>
  <dcterms:created xsi:type="dcterms:W3CDTF">2021-09-07T07:20:00Z</dcterms:created>
  <dcterms:modified xsi:type="dcterms:W3CDTF">2021-09-07T07:20:00Z</dcterms:modified>
</cp:coreProperties>
</file>